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xml:space="preserve">
  <w:body>
    <w:p w14:paraId="62596D86" w14:textId="77777777" w:rsidRDefault="00534700">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CALENDARUL înscrierii în învăţământul primar </w:t>
      </w:r>
    </w:p>
    <w:p w14:paraId="1BCB98E8" w14:textId="13ADC372" w:rsidRDefault="00534700">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pentru anul şcolar 2022-2023</w:t>
      </w:r>
    </w:p>
    <w:p w14:paraId="6CB5ACFB" w14:textId="1BBABEAD" w:rsidRDefault="00DF0385" w:rsidP="00534700">
      <w:pPr>
        <w:shd w:val="clear" w:color="auto" w:fill="FFFFFF"/>
        <w:spacing w:after="0" w:line="240" w:lineRule="auto"/>
        <w:jc w:val="center"/>
        <w:rPr>
          <w:rFonts w:ascii="Times New Roman" w:eastAsia="Times New Roman" w:hAnsi="Times New Roman" w:cs="Times New Roman"/>
          <w:b/>
          <w:bCs/>
          <w:sz w:val="24"/>
          <w:szCs w:val="24"/>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9"/>
        <w:gridCol w:w="7256"/>
      </w:tblGrid>
      <w:tr w14:paraId="2E753972"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773363DC" w14:textId="77777777" w:rsidRDefault="00534700" w:rsidP="008349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Data-limită/Perioada</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098AD760" w14:textId="77777777" w:rsidRDefault="00534700" w:rsidP="00412BC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Evenimentul</w:t>
            </w:r>
          </w:p>
        </w:tc>
      </w:tr>
      <w:tr w14:paraId="6F226ABA" w14:textId="77777777" w:rsidTr="0053470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2298D66" w14:textId="77777777" w:rsidRDefault="00534700" w:rsidP="00412BC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Pregătirea înscrierii în învăţământul primar</w:t>
            </w:r>
          </w:p>
        </w:tc>
      </w:tr>
      <w:tr w14:paraId="30786271"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6CBE8DCF"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martie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65532CCB"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Afişarea circumscripţiilor şcolare şi a planului de şcolarizare propus, respectiv numărul de clase pregătitoare alocate, la fiecare unitate de învăţământ, inclusiv pe site-ul acesteia, dacă există, şi pe site-ul inspectoratului şcolar</w:t>
            </w:r>
          </w:p>
          <w:p w14:paraId="42EA457B"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Afişarea, la sediul fiecărei unităţi de învăţământ şi pe site-ul acesteia, dacă există, sau pe site-ul inspectoratului şcolar, pentru unităţile de învăţământ care nu au site propriu, a informaţiilor care permit părinţilor să cunoască activitatea specifică clasei pregătitoare din cadrul unităţii, cum ar fi: posibilitatea organizării procesului de învăţământ în cadrul unei grădiniţe aflate în structura şcolii sau în consorţiu cu şcoala, posibilitatea organizării programului "Şcoala după şcoală", fotografii ale spaţiului în care se desfăşoară activitatea la clasa pregătitoare</w:t>
            </w:r>
          </w:p>
        </w:tc>
      </w:tr>
      <w:tr w14:paraId="14B94140"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15654BF7"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martie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6A1FFE12"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Postarea pe site-ul centrelor judeţene de resurse şi asistenţă educaţională/Centrului Municipiului Bucureşti de Resurse şi Asistenţă Educaţională (</w:t>
            </w:r>
            <w:r>
              <w:rPr>
                <w:rFonts w:ascii="Times New Roman" w:eastAsia="Times New Roman" w:hAnsi="Times New Roman" w:cs="Times New Roman"/>
                <w:i/>
                <w:iCs/>
                <w:color w:val="000000"/>
                <w:sz w:val="24"/>
                <w:szCs w:val="24"/>
              </w:rPr>
              <w:t>CJRAE/CMBRAE</w:t>
            </w:r>
            <w:r>
              <w:rPr>
                <w:rFonts w:ascii="Times New Roman" w:eastAsia="Times New Roman" w:hAnsi="Times New Roman" w:cs="Times New Roman"/>
                <w:color w:val="000000"/>
                <w:sz w:val="24"/>
                <w:szCs w:val="24"/>
              </w:rPr>
              <w:t>) a modelului de cerere-tip (anexa nr. 2 la Metodologia de înscriere a copiilor în învăţământul primar, aprobată prin Ordinul ministrului educaţiei nr. 3.445/2022) pentru evaluarea dezvoltării copiilor care împlinesc vârsta de 6 ani în perioada 1 septembrie-31 decembrie 2022 inclusiv şi care:</w:t>
            </w:r>
          </w:p>
          <w:p w14:paraId="6862F358"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nu au frecventat grădiniţa;</w:t>
            </w:r>
          </w:p>
          <w:p w14:paraId="371E6C02"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s-au întors din străinătate</w:t>
            </w:r>
          </w:p>
          <w:p w14:paraId="252257ED"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Afişarea programului de evaluare a copiilor la avizierul şi pe site-ul CJRAE/CMBRAE</w:t>
            </w:r>
          </w:p>
          <w:p w14:paraId="3193F8B7"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Postarea pe site-ul inspectoratelor şcolare, respectiv al unităţilor de învăţământ cu nivel preşcolar/primar a modelului de cerere-tip (anexa nr. 2 la Metodologia de înscriere a copiilor în învăţământul primar, aprobată prin Ordinul ministrului educaţiei nr. 3.445/2022) pentru evaluarea dezvoltării copiilor care au frecventat grădiniţa şi care împlinesc vârsta de 6 ani în perioada 1 septembrie-31 decembrie 2022 inclusiv</w:t>
            </w:r>
          </w:p>
        </w:tc>
      </w:tr>
      <w:tr w14:paraId="3816E279"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2208F3A4"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martie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4C77A7AE"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Anunţarea, prin afişare la sediul unităţii de învăţământ/pe site-ul acesteia, a criteriilor specifice de departajare elaborate de unităţile de învăţământ, în urma consultării cadrelor didactice şi a partenerilor sociali - sindicate, consiliul reprezentativ al părinţilor - după verificarea existenţei unor elemente de discriminare de către consilierul juridic al inspectoratului şcolar, şi aprobate în consiliul de administraţie al unităţii de învăţământ</w:t>
            </w:r>
          </w:p>
          <w:p w14:paraId="25689488"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Anunţarea, prin afişare la sediul unităţii de învăţământ/pe site-ul acesteia, a listei documentelor care să dovedească îndeplinirea criteriilor specifice de departajare şi a procedurii privind constituirea formaţiunilor de elevi</w:t>
            </w:r>
          </w:p>
        </w:tc>
      </w:tr>
      <w:tr w14:paraId="25DCFACC"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60FB1738"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martie-8 aprilie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1BB6A254"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Evaluarea dezvoltării copiilor care împlinesc 6 ani în perioada 1 septembrie-31 decembrie 2022 şi eliberarea recomandării pentru înscrierea în învăţământul primar</w:t>
            </w:r>
          </w:p>
          <w:p w14:paraId="487E21F8"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copiii care au frecventat grădiniţa:</w:t>
            </w:r>
          </w:p>
          <w:p w14:paraId="29E9FC70"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înregistrarea cererilor transmise/depuse la unităţile de învăţământ cu nivel preşcolar pentru obţinerea recomandării de înscriere în clasa pregătitoare;</w:t>
            </w:r>
          </w:p>
          <w:p w14:paraId="10862A42"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eliberarea/transmiterea către părinte de către unitatea de învăţământ cu nivel preşcolar a recomandării de înscriere în clasa pregătitoare sau în grupa mare, după caz</w:t>
            </w:r>
          </w:p>
          <w:p w14:paraId="060FEA17"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copiii care nu au frecventat grădiniţa sau au revenit din străinătate:</w:t>
            </w:r>
          </w:p>
          <w:p w14:paraId="2B942C1B"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înregistrarea de către CJRAE/CMBRAE a cererilor de evaluare, depuse/transmise de părinţi pentru copiii care îndeplinesc criteriile prevăzute la art. 7 alin. (1) din ordin;</w:t>
            </w:r>
          </w:p>
          <w:p w14:paraId="6E6CC0AD"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planificarea de către CJRAE/CMBRAE a organizării evaluării; afişarea şi comunicarea programării pentru participarea la evaluare;</w:t>
            </w:r>
          </w:p>
          <w:p w14:paraId="5D28A7E1"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desfăşurarea evaluării copiilor de către CJRAE/CMBRAE;</w:t>
            </w:r>
          </w:p>
          <w:p w14:paraId="7BBD4677"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eliberarea/transmiterea către părinte de către CJRAE/CMBRAE a recomandării de înscriere în clasa pregătitoare sau în grupa mare, după caz;</w:t>
            </w:r>
          </w:p>
          <w:p w14:paraId="27453A5E"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soluţionarea de către Comisia judeţeană/a municipiului Bucureşti de înscriere a copiilor în învăţământul primar (</w:t>
            </w:r>
            <w:r>
              <w:rPr>
                <w:rFonts w:ascii="Times New Roman" w:eastAsia="Times New Roman" w:hAnsi="Times New Roman" w:cs="Times New Roman"/>
                <w:i/>
                <w:iCs/>
                <w:color w:val="000000"/>
                <w:sz w:val="24"/>
                <w:szCs w:val="24"/>
              </w:rPr>
              <w:t>Comisia judeţeană/a municipiului Bucureşti</w:t>
            </w:r>
            <w:r>
              <w:rPr>
                <w:rFonts w:ascii="Times New Roman" w:eastAsia="Times New Roman" w:hAnsi="Times New Roman" w:cs="Times New Roman"/>
                <w:color w:val="000000"/>
                <w:sz w:val="24"/>
                <w:szCs w:val="24"/>
              </w:rPr>
              <w:t>) a situaţiilor excepţionale care necesită amânarea înscrierii în învăţământul primar</w:t>
            </w:r>
          </w:p>
        </w:tc>
      </w:tr>
      <w:tr w14:paraId="7FF4DA13"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298E2500"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aprilie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4D2E3004"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Transmiterea proceselor-verbale care cuprind listele cu numele copiilor şi rezultatele evaluării, respectiv recomandarea de înscriere în clasa pregătitoare sau în grupa mare, după caz, de la unităţile de învăţământ preşcolar sau CJRAE/CMBRAE către Comisia judeţeană/a municipiului Bucureşti</w:t>
            </w:r>
          </w:p>
        </w:tc>
      </w:tr>
      <w:tr w14:paraId="29098149" w14:textId="77777777" w:rsidTr="00412B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F5EF5D3" w14:textId="77777777" w:rsidRDefault="00412BC7" w:rsidP="00412BC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Completarea şi validarea cererilor-tip de înscriere în învăţământul primar</w:t>
            </w:r>
          </w:p>
        </w:tc>
      </w:tr>
      <w:tr w14:paraId="2EB9AFF2"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6CB19B11"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aprilie-10 mai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7496DB4D"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Completarea cererilor-tip de înscriere de către părinţi/tutori legal instituiţi/reprezentanţi legali, online sau la unitatea de învăţământ la care solicită înscrierea copiilor</w:t>
            </w:r>
          </w:p>
          <w:p w14:paraId="5A680A30"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Depunerea/Transmiterea cererilor-tip de înscriere la unitatea de învăţământ la care solicită înscrierea copiilor, inclusiv a recomandării de înscriere în clasa pregătitoare, după caz, respectiv a declaraţiei pe propria răspundere şi a documentelor necesare în copie simplă</w:t>
            </w:r>
          </w:p>
          <w:p w14:paraId="645BBEF5"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Validarea fişelor de înscriere generate de aplicaţia informatică</w:t>
            </w:r>
          </w:p>
        </w:tc>
      </w:tr>
      <w:tr w14:paraId="1B3605D8" w14:textId="77777777" w:rsidTr="00412B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49FA2D2" w14:textId="77777777" w:rsidRDefault="00412BC7" w:rsidP="00412BC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Prima etapă de înscriere în învăţământul primar</w:t>
            </w:r>
          </w:p>
        </w:tc>
      </w:tr>
      <w:tr w14:paraId="0694C8A3"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028AE1C0"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mai-12 mai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250331A8"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Procesarea de către Comisia naţională de înscriere a copiilor în învăţământul primar (</w:t>
            </w:r>
            <w:r>
              <w:rPr>
                <w:rFonts w:ascii="Times New Roman" w:eastAsia="Times New Roman" w:hAnsi="Times New Roman" w:cs="Times New Roman"/>
                <w:i/>
                <w:iCs/>
                <w:color w:val="000000"/>
                <w:sz w:val="24"/>
                <w:szCs w:val="24"/>
              </w:rPr>
              <w:t>Comisia naţională</w:t>
            </w:r>
            <w:r>
              <w:rPr>
                <w:rFonts w:ascii="Times New Roman" w:eastAsia="Times New Roman" w:hAnsi="Times New Roman" w:cs="Times New Roman"/>
                <w:color w:val="000000"/>
                <w:sz w:val="24"/>
                <w:szCs w:val="24"/>
              </w:rPr>
              <w:t>) a cererilor-tip de înscriere, cu ajutorul aplicaţiei informatice, şi repartizarea copiilor la şcoala de circumscripţie</w:t>
            </w:r>
          </w:p>
        </w:tc>
      </w:tr>
      <w:tr w14:paraId="46B9FDA8"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14E1CE17"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mai-25 mai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35ABF6AA"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Procesarea la nivelul unităţilor de învăţământ, pe baza informaţiilor din cererile-tip de înscriere şi din documentele depuse/transmise de părinţi/tutori legal instituiţi/reprezentanţi legali, a cererilor prin care se solicită înscrierea la o altă unitate de învăţământ decât la şcoala de circumscripţie, pe locurile rămase libere. Admiterea sau respingerea cererilor acestora, la nivelul comisiei de înscriere din unităţile de învăţământ, prin aplicarea criteriilor generale şi specifice de departajare şi validarea de către consiliul de administraţie al unităţii de învăţământ a listei candidaţilor admişi în această fază</w:t>
            </w:r>
          </w:p>
          <w:p w14:paraId="212294FA"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Marcarea, în aplicaţia informatică, a cererilor-tip de înscriere pentru candidaţii admişi în această fază</w:t>
            </w:r>
          </w:p>
        </w:tc>
      </w:tr>
      <w:tr w14:paraId="16BA7CA8"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6844F0C4"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mai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37D58E22"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Procesarea de către Comisia naţională a cererilor-tip de înscriere, cu ajutorul aplicaţiei informatice, şi repartizarea la şcoala de circumscripţie a copiilor ai căror părinţi/tutori legal instituiţi/reprezentanţi legali au solicitat înscrierea la o altă unitate de învăţământ decât la şcoala de circumscripţie, dar nu au fost admişi din lipsă de locuri şi care au exprimat în această fază opţiunea pentru înscrierea în şcoala de circumscripţie</w:t>
            </w:r>
          </w:p>
        </w:tc>
      </w:tr>
      <w:tr w14:paraId="12B2ED56"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0B4CE564"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mai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2008F530"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Afişarea în unităţile de învăţământ şi pe site-ul inspectoratului şcolar a candidaţilor înmatriculaţi şi a numărului de locuri rămase libere</w:t>
            </w:r>
          </w:p>
        </w:tc>
      </w:tr>
      <w:tr w14:paraId="58D9C6C6" w14:textId="77777777" w:rsidTr="00412BC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7547A6E0" w14:textId="77777777" w:rsidRDefault="00412BC7" w:rsidP="00412BC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 doua etapă de înscriere în învăţământul primar</w:t>
            </w:r>
          </w:p>
        </w:tc>
      </w:tr>
      <w:tr w14:paraId="5DB1EB63"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35AB8D3F"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mai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11567245"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Comunicarea, prin afişare la unităţile de învăţământ şi pe site-ul inspectoratului, a procedurii specifice de repartizare a copiilor pe locurile disponibile, elaborată de inspectoratul şcolar Informarea Ministerului Educaţiei de către Comisia judeţeană/a municipiului Bucureşti cu privire la procedura specifică de repartizare a copiilor pe locurile disponibile, în etapa a doua</w:t>
            </w:r>
          </w:p>
          <w:p w14:paraId="3C6A8660"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Procedurile vor viza modalităţi de comunicare şi transfer de documente online, după caz.</w:t>
            </w:r>
          </w:p>
        </w:tc>
      </w:tr>
      <w:tr w14:paraId="4A0C216C"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0DA01EFE"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mai-7 iunie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52D1AA93"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Depunerea/Transmiterea cererii-tip de înscriere la secretariatul unităţii de învăţământ aflate pe prima poziţie dintre cele trei opţiuni exprimate pentru etapa a doua de către părinţii copiilor care nu au fost cuprinşi în nicio unitate de învăţământ în etapa anterioară sau care nu au participat la prima etapă</w:t>
            </w:r>
          </w:p>
          <w:p w14:paraId="50899B00"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Validarea cererilor-tip de înscriere la unitatea de învăţământ aflată pe prima poziţie în opţiunile privind înscrierea copiilor</w:t>
            </w:r>
          </w:p>
        </w:tc>
      </w:tr>
      <w:tr w14:paraId="16DCDDC6"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4E6AFE94"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iunie-9 iunie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79B56581"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Procesarea la nivelul unităţilor de învăţământ a cererilor-tip de înscriere depuse de părinţi/tutori legal instituiţi/reprezentanţi legali, aplicând procedura specifică elaborată de inspectoratul şcolar, pe baza criteriilor generale şi a celor specifice de departajare, în limita locurilor disponibile</w:t>
            </w:r>
          </w:p>
          <w:p w14:paraId="3F03FBBA"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Completarea în aplicaţia informatică a datelor din cererile-tip de înscriere pentru candidaţii înscrişi în această etapă</w:t>
            </w:r>
          </w:p>
        </w:tc>
      </w:tr>
      <w:tr w14:paraId="044650DD"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3234A82F"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iunie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2924CFD8"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Afişarea la fiecare unitate de învăţământ a listelor finale ale copiilor înscrişi în clasa pregătitoare</w:t>
            </w:r>
          </w:p>
        </w:tc>
      </w:tr>
      <w:tr w14:paraId="4895B9F0" w14:textId="77777777" w:rsidTr="00412BC7">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1898D507" w14:textId="77777777" w:rsidRDefault="00412BC7" w:rsidP="00412B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septembrie-8 septembrie 2022</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14:paraId="3A311D7F"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Centralizarea şi soluţionarea de către inspectoratul şcolar a cererilor părinţilor/tutorilor legal instituiţi/reprezentanţilor legali ai copiilor care nu au fost încă înscrişi la o unitate de învăţământ</w:t>
            </w:r>
          </w:p>
          <w:p w14:paraId="09457492" w14:textId="77777777" w:rsidRDefault="00412BC7" w:rsidP="00412BC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Soluţionarea de către inspectoratul şcolar a oricărei alte situaţii referitoare la înscrierea în învăţământul primar, având în vedere, cu prioritate, interesul superior al copilului</w:t>
            </w:r>
          </w:p>
        </w:tc>
      </w:tr>
    </w:tbl>
    <w:p w14:paraId="6631BCCD" w14:textId="1D24E907" w:rsidRDefault="00534700">
      <w:pPr>
        <w:shd w:val="clear" w:color="auto" w:fill="FFFFFF"/>
        <w:spacing w:after="0" w:line="240" w:lineRule="auto"/>
        <w:jc w:val="center"/>
        <w:rPr>
          <w:rFonts w:ascii="Times New Roman" w:eastAsia="Times New Roman" w:hAnsi="Times New Roman" w:cs="Times New Roman"/>
          <w:sz w:val="24"/>
          <w:szCs w:val="24"/>
        </w:rPr>
      </w:pPr>
    </w:p>
    <w:sectPr>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9688" w14:textId="77777777" w:rsidR="000015D8" w:rsidRDefault="000015D8">
      <w:pPr>
        <w:spacing w:after="0" w:line="240" w:lineRule="auto"/>
      </w:pPr>
      <w:r>
        <w:separator/>
      </w:r>
    </w:p>
  </w:endnote>
  <w:endnote w:type="continuationSeparator" w:id="0">
    <w:p w14:paraId="30F25C8D" w14:textId="77777777" w:rsidR="000015D8" w:rsidRDefault="0000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7B99" w14:textId="77777777" w:rsidR="000015D8" w:rsidRDefault="000015D8">
      <w:pPr>
        <w:spacing w:after="0" w:line="240" w:lineRule="auto"/>
      </w:pPr>
      <w:r>
        <w:separator/>
      </w:r>
    </w:p>
  </w:footnote>
  <w:footnote w:type="continuationSeparator" w:id="0">
    <w:p w14:paraId="495C7F71" w14:textId="77777777" w:rsidR="000015D8" w:rsidRDefault="00001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9F03" w14:textId="77777777" w:rsidRDefault="00534700">
    <w:pPr>
      <w:pStyle w:val="Antet"/>
      <w:rPr>
        <w:rFonts w:ascii="Times New Roman" w:hAnsi="Times New Roman"/>
        <w:b/>
        <w:bCs/>
        <w:sz w:val="24"/>
        <w:szCs w:val="24"/>
      </w:rPr>
    </w:pPr>
    <w:r>
      <w:rPr>
        <w:rFonts w:ascii="Times New Roman" w:hAnsi="Times New Roman"/>
        <w:b/>
        <w:bCs/>
        <w:sz w:val="24"/>
        <w:szCs w:val="24"/>
      </w:rPr>
      <w:t>Școala Gimnazială Nr.1 Bocșa</w:t>
    </w:r>
  </w:p>
  <w:p w14:paraId="34ED1EB1" w14:textId="77777777" w:rsidRDefault="00534700">
    <w:pPr>
      <w:pStyle w:val="Antet"/>
      <w:jc w:val="right"/>
      <w:rPr>
        <w:rFonts w:ascii="Times New Roman" w:hAnsi="Times New Roman" w:cs="Times New Roman"/>
        <w:b/>
        <w:sz w:val="24"/>
        <w:szCs w:val="24"/>
      </w:rPr>
    </w:pPr>
    <w:r>
      <w:rPr>
        <w:rFonts w:ascii="Times New Roman" w:hAnsi="Times New Roman" w:cs="Times New Roman"/>
        <w:b/>
        <w:sz w:val="24"/>
        <w:szCs w:val="24"/>
      </w:rPr>
      <w:t>F01-PO-C22</w:t>
    </w:r>
  </w:p>
  <w:p w14:paraId="07BF35A9" w14:textId="77777777" w:rsidRDefault="00DF0385">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85"/>
    <w:rsid w:val="000015D8"/>
    <w:rsid w:val="00412BC7"/>
    <w:rsid w:val="00534700"/>
    <w:rsid w:val="00834900"/>
    <w:rsid w:val="00DF0385"/>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BF8E8"/>
  <w15:chartTrackingRefBased/>
  <w15:docId w15:val="{2ADF54C4-996A-4AF4-AC8F-8348ABB8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x">
    <w:name w:val="ax"/>
    <w:basedOn w:val="Fontdeparagrafimplicit"/>
  </w:style>
  <w:style w:type="character" w:customStyle="1" w:styleId="tax">
    <w:name w:val="tax"/>
    <w:basedOn w:val="Fontdeparagrafimplici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ntet">
    <w:name w:val="header"/>
    <w:basedOn w:val="Normal"/>
    <w:link w:val="AntetCaracter"/>
    <w:uiPriority w:val="99"/>
    <w:unhideWhenUsed/>
    <w:pPr>
      <w:tabs>
        <w:tab w:val="center" w:pos="4513"/>
        <w:tab w:val="right" w:pos="9026"/>
      </w:tabs>
      <w:spacing w:after="0" w:line="240" w:lineRule="auto"/>
    </w:pPr>
  </w:style>
  <w:style w:type="character" w:customStyle="1" w:styleId="AntetCaracter">
    <w:name w:val="Antet Caracter"/>
    <w:basedOn w:val="Fontdeparagrafimplicit"/>
    <w:link w:val="Antet"/>
    <w:uiPriority w:val="99"/>
  </w:style>
  <w:style w:type="paragraph" w:styleId="Subsol">
    <w:name w:val="footer"/>
    <w:basedOn w:val="Normal"/>
    <w:link w:val="SubsolCaracter"/>
    <w:uiPriority w:val="99"/>
    <w:unhideWhenUsed/>
    <w:pPr>
      <w:tabs>
        <w:tab w:val="center" w:pos="4513"/>
        <w:tab w:val="right" w:pos="9026"/>
      </w:tabs>
      <w:spacing w:after="0" w:line="240" w:lineRule="auto"/>
    </w:pPr>
  </w:style>
  <w:style w:type="character" w:customStyle="1" w:styleId="SubsolCaracter">
    <w:name w:val="Subsol Caracter"/>
    <w:basedOn w:val="Fontdeparagrafimplicit"/>
    <w:link w:val="Subsol"/>
    <w:uiPriority w:val="99"/>
  </w:style>
  <w:style w:type="character" w:styleId="Hyperlink">
    <w:name w:val="Hyperlink"/>
    <w:basedOn w:val="Fontdeparagrafimplici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7755">
      <w:bodyDiv w:val="1"/>
      <w:marLeft w:val="0"/>
      <w:marRight w:val="0"/>
      <w:marTop w:val="0"/>
      <w:marBottom w:val="0"/>
      <w:divBdr>
        <w:top w:val="none" w:sz="0" w:space="0" w:color="auto"/>
        <w:left w:val="none" w:sz="0" w:space="0" w:color="auto"/>
        <w:bottom w:val="none" w:sz="0" w:space="0" w:color="auto"/>
        <w:right w:val="none" w:sz="0" w:space="0" w:color="auto"/>
      </w:divBdr>
    </w:div>
    <w:div w:id="163135467">
      <w:bodyDiv w:val="1"/>
      <w:marLeft w:val="0"/>
      <w:marRight w:val="0"/>
      <w:marTop w:val="0"/>
      <w:marBottom w:val="0"/>
      <w:divBdr>
        <w:top w:val="none" w:sz="0" w:space="0" w:color="auto"/>
        <w:left w:val="none" w:sz="0" w:space="0" w:color="auto"/>
        <w:bottom w:val="none" w:sz="0" w:space="0" w:color="auto"/>
        <w:right w:val="none" w:sz="0" w:space="0" w:color="auto"/>
      </w:divBdr>
    </w:div>
    <w:div w:id="225841310">
      <w:bodyDiv w:val="1"/>
      <w:marLeft w:val="0"/>
      <w:marRight w:val="0"/>
      <w:marTop w:val="0"/>
      <w:marBottom w:val="0"/>
      <w:divBdr>
        <w:top w:val="none" w:sz="0" w:space="0" w:color="auto"/>
        <w:left w:val="none" w:sz="0" w:space="0" w:color="auto"/>
        <w:bottom w:val="none" w:sz="0" w:space="0" w:color="auto"/>
        <w:right w:val="none" w:sz="0" w:space="0" w:color="auto"/>
      </w:divBdr>
    </w:div>
    <w:div w:id="253318527">
      <w:bodyDiv w:val="1"/>
      <w:marLeft w:val="0"/>
      <w:marRight w:val="0"/>
      <w:marTop w:val="0"/>
      <w:marBottom w:val="0"/>
      <w:divBdr>
        <w:top w:val="none" w:sz="0" w:space="0" w:color="auto"/>
        <w:left w:val="none" w:sz="0" w:space="0" w:color="auto"/>
        <w:bottom w:val="none" w:sz="0" w:space="0" w:color="auto"/>
        <w:right w:val="none" w:sz="0" w:space="0" w:color="auto"/>
      </w:divBdr>
    </w:div>
    <w:div w:id="381101219">
      <w:bodyDiv w:val="1"/>
      <w:marLeft w:val="0"/>
      <w:marRight w:val="0"/>
      <w:marTop w:val="0"/>
      <w:marBottom w:val="0"/>
      <w:divBdr>
        <w:top w:val="none" w:sz="0" w:space="0" w:color="auto"/>
        <w:left w:val="none" w:sz="0" w:space="0" w:color="auto"/>
        <w:bottom w:val="none" w:sz="0" w:space="0" w:color="auto"/>
        <w:right w:val="none" w:sz="0" w:space="0" w:color="auto"/>
      </w:divBdr>
    </w:div>
    <w:div w:id="391201621">
      <w:bodyDiv w:val="1"/>
      <w:marLeft w:val="0"/>
      <w:marRight w:val="0"/>
      <w:marTop w:val="0"/>
      <w:marBottom w:val="0"/>
      <w:divBdr>
        <w:top w:val="none" w:sz="0" w:space="0" w:color="auto"/>
        <w:left w:val="none" w:sz="0" w:space="0" w:color="auto"/>
        <w:bottom w:val="none" w:sz="0" w:space="0" w:color="auto"/>
        <w:right w:val="none" w:sz="0" w:space="0" w:color="auto"/>
      </w:divBdr>
    </w:div>
    <w:div w:id="704066832">
      <w:bodyDiv w:val="1"/>
      <w:marLeft w:val="0"/>
      <w:marRight w:val="0"/>
      <w:marTop w:val="0"/>
      <w:marBottom w:val="0"/>
      <w:divBdr>
        <w:top w:val="none" w:sz="0" w:space="0" w:color="auto"/>
        <w:left w:val="none" w:sz="0" w:space="0" w:color="auto"/>
        <w:bottom w:val="none" w:sz="0" w:space="0" w:color="auto"/>
        <w:right w:val="none" w:sz="0" w:space="0" w:color="auto"/>
      </w:divBdr>
    </w:div>
    <w:div w:id="838469629">
      <w:bodyDiv w:val="1"/>
      <w:marLeft w:val="0"/>
      <w:marRight w:val="0"/>
      <w:marTop w:val="0"/>
      <w:marBottom w:val="0"/>
      <w:divBdr>
        <w:top w:val="none" w:sz="0" w:space="0" w:color="auto"/>
        <w:left w:val="none" w:sz="0" w:space="0" w:color="auto"/>
        <w:bottom w:val="none" w:sz="0" w:space="0" w:color="auto"/>
        <w:right w:val="none" w:sz="0" w:space="0" w:color="auto"/>
      </w:divBdr>
      <w:divsChild>
        <w:div w:id="1334917859">
          <w:marLeft w:val="0"/>
          <w:marRight w:val="0"/>
          <w:marTop w:val="0"/>
          <w:marBottom w:val="0"/>
          <w:divBdr>
            <w:top w:val="dashed" w:sz="2" w:space="0" w:color="FFFFFF"/>
            <w:left w:val="dashed" w:sz="2" w:space="0" w:color="FFFFFF"/>
            <w:bottom w:val="dashed" w:sz="2" w:space="0" w:color="FFFFFF"/>
            <w:right w:val="dashed" w:sz="2" w:space="0" w:color="FFFFFF"/>
          </w:divBdr>
        </w:div>
        <w:div w:id="1206526890">
          <w:marLeft w:val="0"/>
          <w:marRight w:val="0"/>
          <w:marTop w:val="0"/>
          <w:marBottom w:val="0"/>
          <w:divBdr>
            <w:top w:val="dashed" w:sz="2" w:space="0" w:color="FFFFFF"/>
            <w:left w:val="dashed" w:sz="2" w:space="0" w:color="FFFFFF"/>
            <w:bottom w:val="dashed" w:sz="2" w:space="0" w:color="FFFFFF"/>
            <w:right w:val="dashed" w:sz="2" w:space="0" w:color="FFFFFF"/>
          </w:divBdr>
          <w:divsChild>
            <w:div w:id="237449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3954832">
      <w:bodyDiv w:val="1"/>
      <w:marLeft w:val="0"/>
      <w:marRight w:val="0"/>
      <w:marTop w:val="0"/>
      <w:marBottom w:val="0"/>
      <w:divBdr>
        <w:top w:val="none" w:sz="0" w:space="0" w:color="auto"/>
        <w:left w:val="none" w:sz="0" w:space="0" w:color="auto"/>
        <w:bottom w:val="none" w:sz="0" w:space="0" w:color="auto"/>
        <w:right w:val="none" w:sz="0" w:space="0" w:color="auto"/>
      </w:divBdr>
    </w:div>
    <w:div w:id="934441212">
      <w:bodyDiv w:val="1"/>
      <w:marLeft w:val="0"/>
      <w:marRight w:val="0"/>
      <w:marTop w:val="0"/>
      <w:marBottom w:val="0"/>
      <w:divBdr>
        <w:top w:val="none" w:sz="0" w:space="0" w:color="auto"/>
        <w:left w:val="none" w:sz="0" w:space="0" w:color="auto"/>
        <w:bottom w:val="none" w:sz="0" w:space="0" w:color="auto"/>
        <w:right w:val="none" w:sz="0" w:space="0" w:color="auto"/>
      </w:divBdr>
    </w:div>
    <w:div w:id="1109470446">
      <w:bodyDiv w:val="1"/>
      <w:marLeft w:val="0"/>
      <w:marRight w:val="0"/>
      <w:marTop w:val="0"/>
      <w:marBottom w:val="0"/>
      <w:divBdr>
        <w:top w:val="none" w:sz="0" w:space="0" w:color="auto"/>
        <w:left w:val="none" w:sz="0" w:space="0" w:color="auto"/>
        <w:bottom w:val="none" w:sz="0" w:space="0" w:color="auto"/>
        <w:right w:val="none" w:sz="0" w:space="0" w:color="auto"/>
      </w:divBdr>
      <w:divsChild>
        <w:div w:id="1203707947">
          <w:marLeft w:val="0"/>
          <w:marRight w:val="0"/>
          <w:marTop w:val="0"/>
          <w:marBottom w:val="0"/>
          <w:divBdr>
            <w:top w:val="dashed" w:sz="2" w:space="0" w:color="FFFFFF"/>
            <w:left w:val="dashed" w:sz="2" w:space="0" w:color="FFFFFF"/>
            <w:bottom w:val="dashed" w:sz="2" w:space="0" w:color="FFFFFF"/>
            <w:right w:val="dashed" w:sz="2" w:space="0" w:color="FFFFFF"/>
          </w:divBdr>
        </w:div>
        <w:div w:id="2040550197">
          <w:marLeft w:val="0"/>
          <w:marRight w:val="0"/>
          <w:marTop w:val="0"/>
          <w:marBottom w:val="0"/>
          <w:divBdr>
            <w:top w:val="dashed" w:sz="2" w:space="0" w:color="FFFFFF"/>
            <w:left w:val="dashed" w:sz="2" w:space="0" w:color="FFFFFF"/>
            <w:bottom w:val="dashed" w:sz="2" w:space="0" w:color="FFFFFF"/>
            <w:right w:val="dashed" w:sz="2" w:space="0" w:color="FFFFFF"/>
          </w:divBdr>
          <w:divsChild>
            <w:div w:id="59983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2257518">
      <w:bodyDiv w:val="1"/>
      <w:marLeft w:val="0"/>
      <w:marRight w:val="0"/>
      <w:marTop w:val="0"/>
      <w:marBottom w:val="0"/>
      <w:divBdr>
        <w:top w:val="none" w:sz="0" w:space="0" w:color="auto"/>
        <w:left w:val="none" w:sz="0" w:space="0" w:color="auto"/>
        <w:bottom w:val="none" w:sz="0" w:space="0" w:color="auto"/>
        <w:right w:val="none" w:sz="0" w:space="0" w:color="auto"/>
      </w:divBdr>
    </w:div>
    <w:div w:id="1447697837">
      <w:bodyDiv w:val="1"/>
      <w:marLeft w:val="0"/>
      <w:marRight w:val="0"/>
      <w:marTop w:val="0"/>
      <w:marBottom w:val="0"/>
      <w:divBdr>
        <w:top w:val="none" w:sz="0" w:space="0" w:color="auto"/>
        <w:left w:val="none" w:sz="0" w:space="0" w:color="auto"/>
        <w:bottom w:val="none" w:sz="0" w:space="0" w:color="auto"/>
        <w:right w:val="none" w:sz="0" w:space="0" w:color="auto"/>
      </w:divBdr>
    </w:div>
    <w:div w:id="16234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D54-B00D-4ACE-BC36-793D9FB9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1272</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 4;OpenTBS 1.9.6</dc:creator>
  <cp:keywords/>
  <dc:description/>
  <cp:lastModifiedBy>Mariana Tiution</cp:lastModifiedBy>
  <cp:revision>15</cp:revision>
  <dcterms:created xsi:type="dcterms:W3CDTF">2018-03-27T11:10:00Z</dcterms:created>
  <dcterms:modified xsi:type="dcterms:W3CDTF">2022-03-27T17:47:00Z</dcterms:modified>
</cp:coreProperties>
</file>